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69"/>
        <w:ind w:left="5617" w:right="2097" w:firstLine="0"/>
        <w:jc w:val="left"/>
        <w:rPr>
          <w:sz w:val="13"/>
        </w:rPr>
      </w:pPr>
      <w:r>
        <w:rPr/>
        <w:drawing>
          <wp:anchor distT="0" distB="0" distL="0" distR="0" allowOverlap="1" layoutInCell="1" locked="0" behindDoc="0" simplePos="0" relativeHeight="1048">
            <wp:simplePos x="0" y="0"/>
            <wp:positionH relativeFrom="page">
              <wp:posOffset>685800</wp:posOffset>
            </wp:positionH>
            <wp:positionV relativeFrom="paragraph">
              <wp:posOffset>26757</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561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rPr>
          <w:sz w:val="20"/>
        </w:rPr>
      </w:pPr>
    </w:p>
    <w:p>
      <w:pPr>
        <w:pStyle w:val="Heading1"/>
        <w:spacing w:before="257"/>
      </w:pPr>
      <w:r>
        <w:rPr/>
        <w:t>Learning Disability Documentation Guidelines</w:t>
      </w:r>
    </w:p>
    <w:p>
      <w:pPr>
        <w:pStyle w:val="BodyText"/>
        <w:spacing w:before="203"/>
        <w:ind w:left="848" w:right="127"/>
      </w:pPr>
      <w:r>
        <w:rPr/>
        <w:t>Durham Technical Community College provides reasonable accommodations for students with documented learning disabilities.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0"/>
        <w:ind w:left="848" w:right="176" w:firstLine="0"/>
        <w:jc w:val="left"/>
        <w:rPr>
          <w:i/>
          <w:sz w:val="18"/>
        </w:rPr>
      </w:pPr>
      <w:r>
        <w:rPr>
          <w:sz w:val="18"/>
        </w:rPr>
        <w:t>Durham Tech Disability Services Office will make the final determination of whether appropriate and reasonable accommodations are warranted and can be provided for the individual. </w:t>
      </w:r>
      <w:r>
        <w:rPr>
          <w:i/>
          <w:sz w:val="18"/>
        </w:rPr>
        <w:t>Students with disabilities are expected to </w:t>
      </w:r>
      <w:r>
        <w:rPr>
          <w:i/>
          <w:sz w:val="18"/>
        </w:rPr>
        <w:t>satisfy the academic standards required by the college and perform essential course functions without substantially altering the curriculum requirements.</w:t>
      </w:r>
    </w:p>
    <w:p>
      <w:pPr>
        <w:spacing w:before="118"/>
        <w:ind w:left="84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Heading2"/>
        <w:tabs>
          <w:tab w:pos="5888" w:val="left" w:leader="none"/>
          <w:tab w:pos="6608" w:val="left" w:leader="none"/>
          <w:tab w:pos="6718" w:val="left" w:leader="none"/>
          <w:tab w:pos="9848" w:val="left" w:leader="none"/>
        </w:tabs>
        <w:spacing w:line="480" w:lineRule="auto"/>
        <w:jc w:val="both"/>
      </w:pPr>
      <w:r>
        <w:rPr/>
        <w:pict>
          <v:group style="position:absolute;margin-left:90pt;margin-top:98.182297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848" w:right="0" w:firstLine="0"/>
        <w:jc w:val="left"/>
        <w:rPr>
          <w:b/>
          <w:sz w:val="20"/>
        </w:rPr>
      </w:pPr>
      <w:r>
        <w:rPr>
          <w:b/>
          <w:sz w:val="20"/>
        </w:rPr>
        <w:t>REQUIRED DOCUMENTATION—Must be current (within the past five years)</w:t>
      </w:r>
    </w:p>
    <w:p>
      <w:pPr>
        <w:pStyle w:val="ListParagraph"/>
        <w:numPr>
          <w:ilvl w:val="0"/>
          <w:numId w:val="1"/>
        </w:numPr>
        <w:tabs>
          <w:tab w:pos="1208" w:val="left" w:leader="none"/>
          <w:tab w:pos="1209" w:val="left" w:leader="none"/>
        </w:tabs>
        <w:spacing w:line="240" w:lineRule="auto" w:before="125" w:after="0"/>
        <w:ind w:left="1208" w:right="143" w:hanging="360"/>
        <w:jc w:val="left"/>
        <w:rPr>
          <w:sz w:val="18"/>
        </w:rPr>
      </w:pPr>
      <w:r>
        <w:rPr>
          <w:sz w:val="18"/>
        </w:rPr>
        <w:t>The following professionals are considered qualified to assess and diagnose learning disabilities: appropriately licensed/certified clinical psychologists, school psychologists, and neuropsychologists. The professional must have expertise in evaluating the impact of the learning disability on the student’s educational performance. All reports should be on letterhead, dated, signed, and include the name, title, and professional credentials of the</w:t>
      </w:r>
      <w:r>
        <w:rPr>
          <w:spacing w:val="-3"/>
          <w:sz w:val="18"/>
        </w:rPr>
        <w:t> </w:t>
      </w:r>
      <w:r>
        <w:rPr>
          <w:sz w:val="18"/>
        </w:rPr>
        <w:t>evaluator.</w:t>
      </w:r>
    </w:p>
    <w:p>
      <w:pPr>
        <w:pStyle w:val="ListParagraph"/>
        <w:numPr>
          <w:ilvl w:val="0"/>
          <w:numId w:val="1"/>
        </w:numPr>
        <w:tabs>
          <w:tab w:pos="1208" w:val="left" w:leader="none"/>
          <w:tab w:pos="1209" w:val="left" w:leader="none"/>
        </w:tabs>
        <w:spacing w:line="237" w:lineRule="auto" w:before="1" w:after="0"/>
        <w:ind w:left="1208" w:right="581" w:hanging="360"/>
        <w:jc w:val="left"/>
        <w:rPr>
          <w:sz w:val="18"/>
        </w:rPr>
      </w:pPr>
      <w:r>
        <w:rPr>
          <w:sz w:val="18"/>
        </w:rPr>
        <w:t>A psychoeducational report should be current within five years. Documentation should substantiate the need for service based on the student’s current functioning in an </w:t>
      </w:r>
      <w:r>
        <w:rPr>
          <w:i/>
          <w:sz w:val="18"/>
        </w:rPr>
        <w:t>educational</w:t>
      </w:r>
      <w:r>
        <w:rPr>
          <w:i/>
          <w:spacing w:val="-15"/>
          <w:sz w:val="18"/>
        </w:rPr>
        <w:t> </w:t>
      </w:r>
      <w:r>
        <w:rPr>
          <w:sz w:val="18"/>
        </w:rPr>
        <w:t>setting.</w:t>
      </w:r>
    </w:p>
    <w:p>
      <w:pPr>
        <w:pStyle w:val="ListParagraph"/>
        <w:numPr>
          <w:ilvl w:val="0"/>
          <w:numId w:val="1"/>
        </w:numPr>
        <w:tabs>
          <w:tab w:pos="1208" w:val="left" w:leader="none"/>
          <w:tab w:pos="1209" w:val="left" w:leader="none"/>
        </w:tabs>
        <w:spacing w:line="240" w:lineRule="auto" w:before="4" w:after="0"/>
        <w:ind w:left="1208" w:right="193" w:hanging="360"/>
        <w:jc w:val="left"/>
        <w:rPr>
          <w:sz w:val="18"/>
        </w:rPr>
      </w:pPr>
      <w:r>
        <w:rPr>
          <w:sz w:val="18"/>
        </w:rPr>
        <w:t>A psychoeducational evaluation should include a clinical interview. The student’s developmental, academic, mental, and social history should be investigated and reported. This evaluation must include a comprehensive assessment battery including aptitude, achievement, and </w:t>
      </w:r>
      <w:r>
        <w:rPr>
          <w:b/>
          <w:sz w:val="18"/>
        </w:rPr>
        <w:t>processing </w:t>
      </w:r>
      <w:r>
        <w:rPr>
          <w:sz w:val="18"/>
        </w:rPr>
        <w:t>instruments. The following aptitude tests are considered appropriate in the substantiation of a learning</w:t>
      </w:r>
      <w:r>
        <w:rPr>
          <w:spacing w:val="-23"/>
          <w:sz w:val="18"/>
        </w:rPr>
        <w:t> </w:t>
      </w:r>
      <w:r>
        <w:rPr>
          <w:sz w:val="18"/>
        </w:rPr>
        <w:t>disability:</w:t>
      </w:r>
    </w:p>
    <w:p>
      <w:pPr>
        <w:pStyle w:val="ListParagraph"/>
        <w:numPr>
          <w:ilvl w:val="1"/>
          <w:numId w:val="1"/>
        </w:numPr>
        <w:tabs>
          <w:tab w:pos="1928" w:val="left" w:leader="none"/>
          <w:tab w:pos="1929" w:val="left" w:leader="none"/>
        </w:tabs>
        <w:spacing w:line="240" w:lineRule="auto" w:before="0" w:after="0"/>
        <w:ind w:left="1928" w:right="743" w:hanging="360"/>
        <w:jc w:val="left"/>
        <w:rPr>
          <w:sz w:val="18"/>
        </w:rPr>
      </w:pPr>
      <w:r>
        <w:rPr>
          <w:sz w:val="18"/>
        </w:rPr>
        <w:t>Wechsler Adult Intelligence Scale-IV (WAIS-IV); Wechsler Intelligence Scale for Children-IV (WISC-IV)</w:t>
      </w:r>
    </w:p>
    <w:p>
      <w:pPr>
        <w:pStyle w:val="ListParagraph"/>
        <w:numPr>
          <w:ilvl w:val="1"/>
          <w:numId w:val="1"/>
        </w:numPr>
        <w:tabs>
          <w:tab w:pos="1928" w:val="left" w:leader="none"/>
          <w:tab w:pos="1929" w:val="left" w:leader="none"/>
        </w:tabs>
        <w:spacing w:line="217" w:lineRule="exact" w:before="0" w:after="0"/>
        <w:ind w:left="1928" w:right="0" w:hanging="360"/>
        <w:jc w:val="left"/>
        <w:rPr>
          <w:sz w:val="18"/>
        </w:rPr>
      </w:pPr>
      <w:r>
        <w:rPr>
          <w:sz w:val="18"/>
        </w:rPr>
        <w:t>Woodcock-Johnson Test Psychoeducational Battery-III: Test of Cognitive</w:t>
      </w:r>
      <w:r>
        <w:rPr>
          <w:spacing w:val="-8"/>
          <w:sz w:val="18"/>
        </w:rPr>
        <w:t> </w:t>
      </w:r>
      <w:r>
        <w:rPr>
          <w:sz w:val="18"/>
        </w:rPr>
        <w:t>Ability</w:t>
      </w:r>
    </w:p>
    <w:p>
      <w:pPr>
        <w:pStyle w:val="ListParagraph"/>
        <w:numPr>
          <w:ilvl w:val="1"/>
          <w:numId w:val="1"/>
        </w:numPr>
        <w:tabs>
          <w:tab w:pos="1928" w:val="left" w:leader="none"/>
          <w:tab w:pos="1929" w:val="left" w:leader="none"/>
        </w:tabs>
        <w:spacing w:line="218" w:lineRule="exact" w:before="0" w:after="0"/>
        <w:ind w:left="1928" w:right="0" w:hanging="360"/>
        <w:jc w:val="left"/>
        <w:rPr>
          <w:sz w:val="18"/>
        </w:rPr>
      </w:pPr>
      <w:r>
        <w:rPr>
          <w:sz w:val="18"/>
        </w:rPr>
        <w:t>Kaufman Adolescent and Adult Intelligence Test</w:t>
      </w:r>
      <w:r>
        <w:rPr>
          <w:spacing w:val="0"/>
          <w:sz w:val="18"/>
        </w:rPr>
        <w:t> </w:t>
      </w:r>
      <w:r>
        <w:rPr>
          <w:sz w:val="18"/>
        </w:rPr>
        <w:t>(KAIT)</w:t>
      </w:r>
    </w:p>
    <w:p>
      <w:pPr>
        <w:spacing w:line="206" w:lineRule="exact" w:before="0"/>
        <w:ind w:left="1208" w:right="0" w:firstLine="0"/>
        <w:jc w:val="left"/>
        <w:rPr>
          <w:b/>
          <w:i/>
          <w:sz w:val="18"/>
        </w:rPr>
      </w:pPr>
      <w:r>
        <w:rPr>
          <w:i/>
          <w:sz w:val="18"/>
        </w:rPr>
        <w:t>The Slosson Intelligence Test and the Kaufman Brief Intelligence Test are screening devices that are </w:t>
      </w:r>
      <w:r>
        <w:rPr>
          <w:b/>
          <w:i/>
          <w:sz w:val="18"/>
        </w:rPr>
        <w:t>not</w:t>
      </w:r>
    </w:p>
    <w:p>
      <w:pPr>
        <w:spacing w:line="207" w:lineRule="exact" w:before="0"/>
        <w:ind w:left="1208" w:right="0" w:firstLine="0"/>
        <w:jc w:val="left"/>
        <w:rPr>
          <w:i/>
          <w:sz w:val="18"/>
        </w:rPr>
      </w:pPr>
      <w:r>
        <w:rPr>
          <w:i/>
          <w:sz w:val="18"/>
        </w:rPr>
        <w:t>comprehensive enough to provide the information necessary to make accommodation decisions.</w:t>
      </w:r>
    </w:p>
    <w:p>
      <w:pPr>
        <w:pStyle w:val="BodyText"/>
        <w:spacing w:before="2"/>
        <w:ind w:left="1208"/>
      </w:pPr>
      <w:r>
        <w:rPr/>
        <w:t>The following achievement tests are considered appropriate in the substantiation of a learning disability:</w:t>
      </w:r>
    </w:p>
    <w:p>
      <w:pPr>
        <w:pStyle w:val="ListParagraph"/>
        <w:numPr>
          <w:ilvl w:val="1"/>
          <w:numId w:val="1"/>
        </w:numPr>
        <w:tabs>
          <w:tab w:pos="1928" w:val="left" w:leader="none"/>
          <w:tab w:pos="1929" w:val="left" w:leader="none"/>
        </w:tabs>
        <w:spacing w:line="219" w:lineRule="exact" w:before="2" w:after="0"/>
        <w:ind w:left="1928" w:right="0" w:hanging="360"/>
        <w:jc w:val="left"/>
        <w:rPr>
          <w:sz w:val="18"/>
        </w:rPr>
      </w:pPr>
      <w:r>
        <w:rPr>
          <w:sz w:val="18"/>
        </w:rPr>
        <w:t>Woodcock-Johnson Psychoeducational Battery-III: Tests of</w:t>
      </w:r>
      <w:r>
        <w:rPr>
          <w:spacing w:val="-5"/>
          <w:sz w:val="18"/>
        </w:rPr>
        <w:t> </w:t>
      </w:r>
      <w:r>
        <w:rPr>
          <w:sz w:val="18"/>
        </w:rPr>
        <w:t>Achievement</w:t>
      </w:r>
    </w:p>
    <w:p>
      <w:pPr>
        <w:pStyle w:val="ListParagraph"/>
        <w:numPr>
          <w:ilvl w:val="1"/>
          <w:numId w:val="1"/>
        </w:numPr>
        <w:tabs>
          <w:tab w:pos="1928" w:val="left" w:leader="none"/>
          <w:tab w:pos="1929" w:val="left" w:leader="none"/>
        </w:tabs>
        <w:spacing w:line="218" w:lineRule="exact" w:before="0" w:after="0"/>
        <w:ind w:left="1928" w:right="0" w:hanging="360"/>
        <w:jc w:val="left"/>
        <w:rPr>
          <w:sz w:val="18"/>
        </w:rPr>
      </w:pPr>
      <w:r>
        <w:rPr>
          <w:sz w:val="18"/>
        </w:rPr>
        <w:t>Wechsler Individual Achievement Test-II</w:t>
      </w:r>
      <w:r>
        <w:rPr>
          <w:spacing w:val="-4"/>
          <w:sz w:val="18"/>
        </w:rPr>
        <w:t> </w:t>
      </w:r>
      <w:r>
        <w:rPr>
          <w:sz w:val="18"/>
        </w:rPr>
        <w:t>(WIAT-III)</w:t>
      </w:r>
    </w:p>
    <w:p>
      <w:pPr>
        <w:pStyle w:val="ListParagraph"/>
        <w:numPr>
          <w:ilvl w:val="1"/>
          <w:numId w:val="1"/>
        </w:numPr>
        <w:tabs>
          <w:tab w:pos="1928" w:val="left" w:leader="none"/>
          <w:tab w:pos="1929" w:val="left" w:leader="none"/>
        </w:tabs>
        <w:spacing w:line="217" w:lineRule="exact" w:before="0" w:after="0"/>
        <w:ind w:left="1928" w:right="0" w:hanging="360"/>
        <w:jc w:val="left"/>
        <w:rPr>
          <w:sz w:val="18"/>
        </w:rPr>
      </w:pPr>
      <w:r>
        <w:rPr>
          <w:sz w:val="18"/>
        </w:rPr>
        <w:t>Scholastic Abilities Test for Adults</w:t>
      </w:r>
      <w:r>
        <w:rPr>
          <w:spacing w:val="0"/>
          <w:sz w:val="18"/>
        </w:rPr>
        <w:t> </w:t>
      </w:r>
      <w:r>
        <w:rPr>
          <w:sz w:val="18"/>
        </w:rPr>
        <w:t>(SATA)</w:t>
      </w:r>
    </w:p>
    <w:p>
      <w:pPr>
        <w:spacing w:line="242" w:lineRule="auto" w:before="0"/>
        <w:ind w:left="1208" w:right="237" w:firstLine="0"/>
        <w:jc w:val="left"/>
        <w:rPr>
          <w:i/>
          <w:sz w:val="18"/>
        </w:rPr>
      </w:pPr>
      <w:r>
        <w:rPr>
          <w:i/>
          <w:sz w:val="18"/>
        </w:rPr>
        <w:t>The Wide Range Achievement Test is </w:t>
      </w:r>
      <w:r>
        <w:rPr>
          <w:b/>
          <w:i/>
          <w:sz w:val="18"/>
        </w:rPr>
        <w:t>not </w:t>
      </w:r>
      <w:r>
        <w:rPr>
          <w:i/>
          <w:sz w:val="18"/>
        </w:rPr>
        <w:t>a comprehensive measure of achievement and, therefore, is not </w:t>
      </w:r>
      <w:r>
        <w:rPr>
          <w:i/>
          <w:sz w:val="18"/>
        </w:rPr>
        <w:t>useful as the sole measure of achievement.</w:t>
      </w:r>
    </w:p>
    <w:p>
      <w:pPr>
        <w:pStyle w:val="ListParagraph"/>
        <w:numPr>
          <w:ilvl w:val="0"/>
          <w:numId w:val="1"/>
        </w:numPr>
        <w:tabs>
          <w:tab w:pos="1209" w:val="left" w:leader="none"/>
        </w:tabs>
        <w:spacing w:line="240" w:lineRule="auto" w:before="0" w:after="0"/>
        <w:ind w:left="1208" w:right="363" w:hanging="360"/>
        <w:jc w:val="both"/>
        <w:rPr>
          <w:sz w:val="18"/>
        </w:rPr>
      </w:pPr>
      <w:r>
        <w:rPr>
          <w:sz w:val="18"/>
        </w:rPr>
        <w:t>The impact of the disability should be discussed with particular detail regarding academic requirements. If specific recommendations of accommodations are made, the rationale must relate the accommodation to the functional limitations imposed by the</w:t>
      </w:r>
      <w:r>
        <w:rPr>
          <w:spacing w:val="-1"/>
          <w:sz w:val="18"/>
        </w:rPr>
        <w:t> </w:t>
      </w:r>
      <w:r>
        <w:rPr>
          <w:sz w:val="18"/>
        </w:rPr>
        <w:t>disability.</w:t>
      </w:r>
    </w:p>
    <w:p>
      <w:pPr>
        <w:pStyle w:val="BodyText"/>
        <w:spacing w:before="5"/>
        <w:rPr>
          <w:sz w:val="20"/>
        </w:rPr>
      </w:pPr>
    </w:p>
    <w:p>
      <w:pPr>
        <w:pStyle w:val="Heading2"/>
        <w:tabs>
          <w:tab w:pos="6608" w:val="left" w:leader="none"/>
          <w:tab w:pos="9848" w:val="left" w:leader="none"/>
        </w:tabs>
        <w:spacing w:line="477" w:lineRule="auto" w:before="1"/>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spacing w:line="170" w:lineRule="exact" w:before="0"/>
        <w:ind w:left="0" w:right="138" w:firstLine="0"/>
        <w:jc w:val="right"/>
        <w:rPr>
          <w:sz w:val="16"/>
        </w:rPr>
      </w:pPr>
      <w:r>
        <w:rPr>
          <w:sz w:val="16"/>
        </w:rPr>
        <w:t>02/2016</w:t>
      </w:r>
    </w:p>
    <w:p>
      <w:pPr>
        <w:spacing w:after="0" w:line="170" w:lineRule="exact"/>
        <w:jc w:val="right"/>
        <w:rPr>
          <w:sz w:val="16"/>
        </w:rPr>
        <w:sectPr>
          <w:type w:val="continuous"/>
          <w:pgSz w:w="12240" w:h="15840"/>
          <w:pgMar w:top="800" w:bottom="280" w:left="980" w:right="1300"/>
        </w:sectPr>
      </w:pPr>
    </w:p>
    <w:p>
      <w:pPr>
        <w:pStyle w:val="BodyText"/>
        <w:ind w:left="100"/>
        <w:rPr>
          <w:sz w:val="20"/>
        </w:rPr>
      </w:pPr>
      <w:r>
        <w:rPr>
          <w:sz w:val="20"/>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Heading1"/>
      </w:pPr>
      <w:r>
        <w:rPr/>
        <w:t>Impact Statement</w:t>
      </w:r>
    </w:p>
    <w:p>
      <w:pPr>
        <w:pStyle w:val="Heading2"/>
        <w:spacing w:before="231"/>
        <w:ind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rPr>
          <w:sz w:val="20"/>
        </w:rPr>
      </w:pPr>
    </w:p>
    <w:p>
      <w:pPr>
        <w:tabs>
          <w:tab w:pos="5888" w:val="left" w:leader="none"/>
          <w:tab w:pos="6068" w:val="left" w:leader="none"/>
          <w:tab w:pos="6608" w:val="left" w:leader="none"/>
          <w:tab w:pos="9848" w:val="left" w:leader="none"/>
        </w:tabs>
        <w:spacing w:line="480" w:lineRule="auto" w:before="0"/>
        <w:ind w:left="848" w:right="109" w:firstLine="0"/>
        <w:jc w:val="both"/>
        <w:rPr>
          <w:sz w:val="20"/>
        </w:rPr>
      </w:pPr>
      <w:r>
        <w:rPr>
          <w:sz w:val="20"/>
        </w:rPr>
        <w:t>Name:</w:t>
      </w:r>
      <w:r>
        <w:rPr>
          <w:sz w:val="20"/>
          <w:u w:val="single"/>
        </w:rPr>
        <w:tab/>
        <w:tab/>
        <w:tab/>
      </w:r>
      <w:r>
        <w:rPr>
          <w:sz w:val="20"/>
        </w:rPr>
        <w:t>Date:</w:t>
      </w:r>
      <w:r>
        <w:rPr>
          <w:spacing w:val="0"/>
          <w:sz w:val="20"/>
        </w:rPr>
        <w:t> </w:t>
      </w:r>
      <w:r>
        <w:rPr>
          <w:w w:val="99"/>
          <w:sz w:val="20"/>
          <w:u w:val="single"/>
        </w:rPr>
        <w:t> </w:t>
      </w:r>
      <w:r>
        <w:rPr>
          <w:sz w:val="20"/>
          <w:u w:val="single"/>
        </w:rPr>
        <w:tab/>
      </w:r>
      <w:r>
        <w:rPr>
          <w:sz w:val="20"/>
        </w:rPr>
        <w:t> Email:</w:t>
      </w:r>
      <w:r>
        <w:rPr>
          <w:sz w:val="20"/>
          <w:u w:val="single"/>
        </w:rPr>
        <w:tab/>
        <w:tab/>
      </w:r>
      <w:r>
        <w:rPr>
          <w:sz w:val="20"/>
        </w:rPr>
        <w:t>Telephone:</w:t>
      </w:r>
      <w:r>
        <w:rPr>
          <w:spacing w:val="1"/>
          <w:sz w:val="20"/>
        </w:rPr>
        <w:t> </w:t>
      </w:r>
      <w:r>
        <w:rPr>
          <w:w w:val="99"/>
          <w:sz w:val="20"/>
          <w:u w:val="single"/>
        </w:rPr>
        <w:t> </w:t>
      </w:r>
      <w:r>
        <w:rPr>
          <w:sz w:val="20"/>
          <w:u w:val="single"/>
        </w:rPr>
        <w:tab/>
      </w:r>
      <w:r>
        <w:rPr>
          <w:sz w:val="20"/>
        </w:rPr>
        <w:t> Program</w:t>
      </w:r>
      <w:r>
        <w:rPr>
          <w:spacing w:val="2"/>
          <w:sz w:val="20"/>
        </w:rPr>
        <w:t> </w:t>
      </w:r>
      <w:r>
        <w:rPr>
          <w:sz w:val="20"/>
        </w:rPr>
        <w:t>of study:</w:t>
      </w:r>
      <w:r>
        <w:rPr>
          <w:sz w:val="20"/>
          <w:u w:val="single"/>
        </w:rPr>
        <w:tab/>
      </w:r>
      <w:r>
        <w:rPr>
          <w:sz w:val="20"/>
        </w:rPr>
        <w:t>Student ID number:</w:t>
      </w:r>
      <w:r>
        <w:rPr>
          <w:spacing w:val="-1"/>
          <w:sz w:val="20"/>
        </w:rPr>
        <w:t> </w:t>
      </w:r>
      <w:r>
        <w:rPr>
          <w:w w:val="99"/>
          <w:sz w:val="20"/>
          <w:u w:val="single"/>
        </w:rPr>
        <w:t> </w:t>
      </w:r>
      <w:r>
        <w:rPr>
          <w:sz w:val="20"/>
          <w:u w:val="single"/>
        </w:rPr>
        <w:tab/>
      </w:r>
    </w:p>
    <w:p>
      <w:pPr>
        <w:pStyle w:val="BodyText"/>
        <w:rPr>
          <w:sz w:val="20"/>
        </w:rPr>
      </w:pPr>
    </w:p>
    <w:p>
      <w:pPr>
        <w:spacing w:before="0"/>
        <w:ind w:left="848" w:right="0" w:firstLine="0"/>
        <w:jc w:val="left"/>
        <w:rPr>
          <w:sz w:val="20"/>
        </w:rPr>
      </w:pPr>
      <w:r>
        <w:rPr>
          <w:sz w:val="20"/>
        </w:rPr>
        <w:t>Describe in as much detail as possible the diagnosed condition that is currently impacting and substantially limiting your ability to learn.</w:t>
      </w:r>
    </w:p>
    <w:p>
      <w:pPr>
        <w:pStyle w:val="BodyText"/>
        <w:spacing w:before="10"/>
        <w:rPr>
          <w:sz w:val="19"/>
        </w:rPr>
      </w:pPr>
    </w:p>
    <w:p>
      <w:pPr>
        <w:tabs>
          <w:tab w:pos="9848" w:val="left" w:leader="none"/>
        </w:tabs>
        <w:spacing w:before="1"/>
        <w:ind w:left="848" w:right="0" w:firstLine="0"/>
        <w:jc w:val="left"/>
        <w:rPr>
          <w:sz w:val="20"/>
        </w:rPr>
      </w:pPr>
      <w:r>
        <w:rPr>
          <w:sz w:val="20"/>
        </w:rPr>
        <w:t>Documented</w:t>
      </w:r>
      <w:r>
        <w:rPr>
          <w:spacing w:val="-12"/>
          <w:sz w:val="20"/>
        </w:rPr>
        <w:t> </w:t>
      </w:r>
      <w:r>
        <w:rPr>
          <w:sz w:val="20"/>
        </w:rPr>
        <w:t>disability:</w:t>
      </w:r>
      <w:r>
        <w:rPr>
          <w:spacing w:val="3"/>
          <w:sz w:val="20"/>
        </w:rPr>
        <w:t> </w:t>
      </w:r>
      <w:r>
        <w:rPr>
          <w:w w:val="99"/>
          <w:sz w:val="20"/>
          <w:u w:val="single"/>
        </w:rPr>
        <w:t> </w:t>
      </w:r>
      <w:r>
        <w:rPr>
          <w:sz w:val="20"/>
          <w:u w:val="single"/>
        </w:rPr>
        <w:tab/>
      </w:r>
    </w:p>
    <w:p>
      <w:pPr>
        <w:pStyle w:val="BodyText"/>
        <w:rPr>
          <w:sz w:val="20"/>
        </w:rPr>
      </w:pPr>
    </w:p>
    <w:p>
      <w:pPr>
        <w:pStyle w:val="BodyText"/>
        <w:spacing w:before="9"/>
        <w:rPr>
          <w:sz w:val="14"/>
        </w:rPr>
      </w:pPr>
      <w:r>
        <w:rPr/>
        <w:pict>
          <v:line style="position:absolute;mso-position-horizontal-relative:page;mso-position-vertical-relative:paragraph;z-index:1072;mso-wrap-distance-left:0;mso-wrap-distance-right:0" from="91.440002pt,10.855849pt" to="541.440002pt,10.855849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spacing w:before="182"/>
        <w:ind w:left="848" w:right="308" w:firstLine="0"/>
        <w:jc w:val="left"/>
        <w:rPr>
          <w:sz w:val="20"/>
        </w:rPr>
      </w:pPr>
      <w:r>
        <w:rPr>
          <w:sz w:val="20"/>
        </w:rPr>
        <w:t>Describe in as much detail as possible how the diagnosed condition has impacted and substantially limited your ability to learn in the recent past.</w:t>
      </w:r>
    </w:p>
    <w:p>
      <w:pPr>
        <w:pStyle w:val="BodyText"/>
        <w:spacing w:before="1"/>
        <w:rPr>
          <w:sz w:val="20"/>
        </w:rPr>
      </w:pPr>
    </w:p>
    <w:p>
      <w:pPr>
        <w:tabs>
          <w:tab w:pos="9848" w:val="left" w:leader="none"/>
        </w:tabs>
        <w:spacing w:before="1"/>
        <w:ind w:left="848" w:right="0" w:firstLine="0"/>
        <w:jc w:val="left"/>
        <w:rPr>
          <w:sz w:val="20"/>
        </w:rPr>
      </w:pPr>
      <w:r>
        <w:rPr>
          <w:sz w:val="20"/>
        </w:rPr>
        <w:t>Current</w:t>
      </w:r>
      <w:r>
        <w:rPr>
          <w:spacing w:val="-6"/>
          <w:sz w:val="20"/>
        </w:rPr>
        <w:t> </w:t>
      </w:r>
      <w:r>
        <w:rPr>
          <w:sz w:val="20"/>
        </w:rPr>
        <w:t>impact:</w:t>
      </w:r>
      <w:r>
        <w:rPr>
          <w:spacing w:val="-1"/>
          <w:sz w:val="20"/>
        </w:rPr>
        <w:t> </w:t>
      </w:r>
      <w:r>
        <w:rPr>
          <w:w w:val="99"/>
          <w:sz w:val="20"/>
          <w:u w:val="single"/>
        </w:rPr>
        <w:t> </w:t>
      </w:r>
      <w:r>
        <w:rPr>
          <w:sz w:val="20"/>
          <w:u w:val="single"/>
        </w:rPr>
        <w:tab/>
      </w:r>
    </w:p>
    <w:p>
      <w:pPr>
        <w:pStyle w:val="BodyText"/>
        <w:rPr>
          <w:sz w:val="20"/>
        </w:rPr>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tabs>
          <w:tab w:pos="9848" w:val="left" w:leader="none"/>
        </w:tabs>
        <w:spacing w:line="480" w:lineRule="auto" w:before="182"/>
        <w:ind w:left="848" w:right="109" w:firstLine="0"/>
        <w:jc w:val="left"/>
        <w:rPr>
          <w:sz w:val="20"/>
        </w:rPr>
      </w:pPr>
      <w:r>
        <w:rPr>
          <w:spacing w:val="-3"/>
          <w:sz w:val="20"/>
        </w:rPr>
        <w:t>Describe </w:t>
      </w:r>
      <w:r>
        <w:rPr>
          <w:sz w:val="20"/>
        </w:rPr>
        <w:t>the </w:t>
      </w:r>
      <w:r>
        <w:rPr>
          <w:spacing w:val="-3"/>
          <w:sz w:val="20"/>
        </w:rPr>
        <w:t>accommodations </w:t>
      </w:r>
      <w:r>
        <w:rPr>
          <w:sz w:val="20"/>
        </w:rPr>
        <w:t>or </w:t>
      </w:r>
      <w:r>
        <w:rPr>
          <w:spacing w:val="-3"/>
          <w:sz w:val="20"/>
        </w:rPr>
        <w:t>services that </w:t>
      </w:r>
      <w:r>
        <w:rPr>
          <w:spacing w:val="-4"/>
          <w:sz w:val="20"/>
        </w:rPr>
        <w:t>you </w:t>
      </w:r>
      <w:r>
        <w:rPr>
          <w:spacing w:val="-3"/>
          <w:sz w:val="20"/>
        </w:rPr>
        <w:t>think you will </w:t>
      </w:r>
      <w:r>
        <w:rPr>
          <w:sz w:val="20"/>
        </w:rPr>
        <w:t>need to be </w:t>
      </w:r>
      <w:r>
        <w:rPr>
          <w:spacing w:val="-3"/>
          <w:sz w:val="20"/>
        </w:rPr>
        <w:t>successful </w:t>
      </w:r>
      <w:r>
        <w:rPr>
          <w:sz w:val="20"/>
        </w:rPr>
        <w:t>at </w:t>
      </w:r>
      <w:r>
        <w:rPr>
          <w:spacing w:val="-3"/>
          <w:sz w:val="20"/>
        </w:rPr>
        <w:t>Durham </w:t>
      </w:r>
      <w:r>
        <w:rPr>
          <w:sz w:val="20"/>
        </w:rPr>
        <w:t>Tech. Accommodations/Services:</w:t>
      </w:r>
      <w:r>
        <w:rPr>
          <w:spacing w:val="1"/>
          <w:sz w:val="20"/>
        </w:rPr>
        <w:t> </w:t>
      </w:r>
      <w:r>
        <w:rPr>
          <w:w w:val="99"/>
          <w:sz w:val="20"/>
          <w:u w:val="single"/>
        </w:rPr>
        <w:t> </w:t>
      </w:r>
      <w:r>
        <w:rPr>
          <w:sz w:val="20"/>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rPr>
          <w:sz w:val="20"/>
        </w:rPr>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rPr>
          <w:sz w:val="20"/>
        </w:rPr>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sectPr>
      <w:pgSz w:w="12240" w:h="15840"/>
      <w:pgMar w:top="720" w:bottom="280" w:left="9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8" w:hanging="360"/>
        <w:jc w:val="left"/>
      </w:pPr>
      <w:rPr>
        <w:rFonts w:hint="default" w:ascii="Arial" w:hAnsi="Arial" w:eastAsia="Arial" w:cs="Arial"/>
        <w:spacing w:val="-2"/>
        <w:w w:val="96"/>
        <w:sz w:val="18"/>
        <w:szCs w:val="18"/>
        <w:lang w:val="en-us" w:eastAsia="en-us" w:bidi="en-us"/>
      </w:rPr>
    </w:lvl>
    <w:lvl w:ilvl="1">
      <w:start w:val="0"/>
      <w:numFmt w:val="bullet"/>
      <w:lvlText w:val=""/>
      <w:lvlJc w:val="left"/>
      <w:pPr>
        <w:ind w:left="1928" w:hanging="360"/>
      </w:pPr>
      <w:rPr>
        <w:rFonts w:hint="default" w:ascii="Symbol" w:hAnsi="Symbol" w:eastAsia="Symbol" w:cs="Symbol"/>
        <w:w w:val="100"/>
        <w:sz w:val="18"/>
        <w:szCs w:val="18"/>
        <w:lang w:val="en-us" w:eastAsia="en-us" w:bidi="en-us"/>
      </w:rPr>
    </w:lvl>
    <w:lvl w:ilvl="2">
      <w:start w:val="0"/>
      <w:numFmt w:val="bullet"/>
      <w:lvlText w:val="•"/>
      <w:lvlJc w:val="left"/>
      <w:pPr>
        <w:ind w:left="2813" w:hanging="360"/>
      </w:pPr>
      <w:rPr>
        <w:rFonts w:hint="default"/>
        <w:lang w:val="en-us" w:eastAsia="en-us" w:bidi="en-us"/>
      </w:rPr>
    </w:lvl>
    <w:lvl w:ilvl="3">
      <w:start w:val="0"/>
      <w:numFmt w:val="bullet"/>
      <w:lvlText w:val="•"/>
      <w:lvlJc w:val="left"/>
      <w:pPr>
        <w:ind w:left="3706" w:hanging="360"/>
      </w:pPr>
      <w:rPr>
        <w:rFonts w:hint="default"/>
        <w:lang w:val="en-us" w:eastAsia="en-us" w:bidi="en-us"/>
      </w:rPr>
    </w:lvl>
    <w:lvl w:ilvl="4">
      <w:start w:val="0"/>
      <w:numFmt w:val="bullet"/>
      <w:lvlText w:val="•"/>
      <w:lvlJc w:val="left"/>
      <w:pPr>
        <w:ind w:left="4600" w:hanging="360"/>
      </w:pPr>
      <w:rPr>
        <w:rFonts w:hint="default"/>
        <w:lang w:val="en-us" w:eastAsia="en-us" w:bidi="en-us"/>
      </w:rPr>
    </w:lvl>
    <w:lvl w:ilvl="5">
      <w:start w:val="0"/>
      <w:numFmt w:val="bullet"/>
      <w:lvlText w:val="•"/>
      <w:lvlJc w:val="left"/>
      <w:pPr>
        <w:ind w:left="5493" w:hanging="360"/>
      </w:pPr>
      <w:rPr>
        <w:rFonts w:hint="default"/>
        <w:lang w:val="en-us" w:eastAsia="en-us" w:bidi="en-us"/>
      </w:rPr>
    </w:lvl>
    <w:lvl w:ilvl="6">
      <w:start w:val="0"/>
      <w:numFmt w:val="bullet"/>
      <w:lvlText w:val="•"/>
      <w:lvlJc w:val="left"/>
      <w:pPr>
        <w:ind w:left="6386" w:hanging="360"/>
      </w:pPr>
      <w:rPr>
        <w:rFonts w:hint="default"/>
        <w:lang w:val="en-us" w:eastAsia="en-us" w:bidi="en-us"/>
      </w:rPr>
    </w:lvl>
    <w:lvl w:ilvl="7">
      <w:start w:val="0"/>
      <w:numFmt w:val="bullet"/>
      <w:lvlText w:val="•"/>
      <w:lvlJc w:val="left"/>
      <w:pPr>
        <w:ind w:left="7280" w:hanging="360"/>
      </w:pPr>
      <w:rPr>
        <w:rFonts w:hint="default"/>
        <w:lang w:val="en-us" w:eastAsia="en-us" w:bidi="en-us"/>
      </w:rPr>
    </w:lvl>
    <w:lvl w:ilvl="8">
      <w:start w:val="0"/>
      <w:numFmt w:val="bullet"/>
      <w:lvlText w:val="•"/>
      <w:lvlJc w:val="left"/>
      <w:pPr>
        <w:ind w:left="817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spacing w:before="207"/>
      <w:ind w:left="848"/>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ind w:left="848" w:right="109"/>
      <w:outlineLvl w:val="2"/>
    </w:pPr>
    <w:rPr>
      <w:rFonts w:ascii="Arial" w:hAnsi="Arial" w:eastAsia="Arial" w:cs="Arial"/>
      <w:sz w:val="20"/>
      <w:szCs w:val="20"/>
      <w:lang w:val="en-us" w:eastAsia="en-us" w:bidi="en-us"/>
    </w:rPr>
  </w:style>
  <w:style w:styleId="ListParagraph" w:type="paragraph">
    <w:name w:val="List Paragraph"/>
    <w:basedOn w:val="Normal"/>
    <w:uiPriority w:val="1"/>
    <w:qFormat/>
    <w:pPr>
      <w:ind w:left="1928"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Disability Documentation Guidelines</dc:title>
  <dcterms:created xsi:type="dcterms:W3CDTF">2019-05-31T12:12:17Z</dcterms:created>
  <dcterms:modified xsi:type="dcterms:W3CDTF">2019-05-31T12:12:17Z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